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7C" w:rsidRPr="00C74206" w:rsidRDefault="00AC1A66">
      <w:pPr>
        <w:rPr>
          <w:rFonts w:cstheme="minorHAnsi"/>
          <w:b/>
          <w:sz w:val="24"/>
          <w:szCs w:val="24"/>
        </w:rPr>
      </w:pPr>
      <w:r w:rsidRPr="00C74206">
        <w:rPr>
          <w:rFonts w:cstheme="minorHAnsi"/>
          <w:b/>
          <w:sz w:val="24"/>
          <w:szCs w:val="24"/>
        </w:rPr>
        <w:t>Carta de presentación</w:t>
      </w:r>
    </w:p>
    <w:p w:rsidR="00AC1A66" w:rsidRPr="00C74206" w:rsidRDefault="00AC1A66">
      <w:pPr>
        <w:rPr>
          <w:rFonts w:cstheme="minorHAnsi"/>
          <w:sz w:val="24"/>
          <w:szCs w:val="24"/>
        </w:rPr>
      </w:pPr>
    </w:p>
    <w:p w:rsidR="00C74206" w:rsidRPr="00C74206" w:rsidRDefault="00C74206">
      <w:pPr>
        <w:rPr>
          <w:rFonts w:cstheme="minorHAnsi"/>
          <w:sz w:val="24"/>
          <w:szCs w:val="24"/>
        </w:rPr>
      </w:pPr>
    </w:p>
    <w:p w:rsidR="00C74206" w:rsidRPr="00C74206" w:rsidRDefault="00C74206">
      <w:pPr>
        <w:rPr>
          <w:rFonts w:cstheme="minorHAnsi"/>
          <w:sz w:val="24"/>
          <w:szCs w:val="24"/>
        </w:rPr>
      </w:pPr>
      <w:r w:rsidRPr="00C74206">
        <w:rPr>
          <w:rFonts w:cstheme="minorHAnsi"/>
          <w:sz w:val="24"/>
          <w:szCs w:val="24"/>
        </w:rPr>
        <w:t>Título:</w:t>
      </w:r>
    </w:p>
    <w:p w:rsidR="00AC1A66" w:rsidRDefault="00C74206">
      <w:pPr>
        <w:rPr>
          <w:rFonts w:cstheme="minorHAnsi"/>
          <w:sz w:val="24"/>
          <w:szCs w:val="24"/>
        </w:rPr>
      </w:pPr>
      <w:r w:rsidRPr="00C74206">
        <w:rPr>
          <w:rFonts w:cstheme="minorHAnsi"/>
          <w:sz w:val="24"/>
          <w:szCs w:val="24"/>
        </w:rPr>
        <w:t>Detección de duplicidades terapéuticas en farmacia comunitaria: Importancia del seguimiento farmacoterapéutico en pacientes atendidos por varios especialistas. Posibles mejoras.</w:t>
      </w:r>
    </w:p>
    <w:p w:rsidR="0051349C" w:rsidRPr="00C74206" w:rsidRDefault="0051349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1349C" w:rsidRPr="00C74206" w:rsidRDefault="0051349C" w:rsidP="005134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Tipo de artículo: </w:t>
      </w:r>
      <w:r w:rsidRPr="00C74206">
        <w:rPr>
          <w:rFonts w:cstheme="minorHAnsi"/>
          <w:sz w:val="24"/>
          <w:szCs w:val="24"/>
        </w:rPr>
        <w:t>Caso clínico.</w:t>
      </w:r>
    </w:p>
    <w:p w:rsidR="00C74206" w:rsidRPr="00C74206" w:rsidRDefault="00C74206">
      <w:pPr>
        <w:rPr>
          <w:rFonts w:cstheme="minorHAnsi"/>
          <w:sz w:val="24"/>
          <w:szCs w:val="24"/>
        </w:rPr>
      </w:pPr>
    </w:p>
    <w:p w:rsidR="00C74206" w:rsidRPr="00C74206" w:rsidRDefault="00C74206">
      <w:pPr>
        <w:rPr>
          <w:rFonts w:cstheme="minorHAnsi"/>
          <w:sz w:val="24"/>
          <w:szCs w:val="24"/>
          <w:shd w:val="clear" w:color="auto" w:fill="FFFFFF"/>
        </w:rPr>
      </w:pPr>
      <w:r w:rsidRPr="00C74206">
        <w:rPr>
          <w:rFonts w:cstheme="minorHAnsi"/>
          <w:sz w:val="24"/>
          <w:szCs w:val="24"/>
          <w:shd w:val="clear" w:color="auto" w:fill="FFFFFF"/>
        </w:rPr>
        <w:t>Este artículo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4206">
        <w:rPr>
          <w:rFonts w:cstheme="minorHAnsi"/>
          <w:sz w:val="24"/>
          <w:szCs w:val="24"/>
          <w:shd w:val="clear" w:color="auto" w:fill="FFFFFF"/>
        </w:rPr>
        <w:t>no ha sido publicado ni enviado simultáneamente a otras publicaciones.</w:t>
      </w:r>
    </w:p>
    <w:p w:rsidR="00C74206" w:rsidRPr="00C74206" w:rsidRDefault="00C74206">
      <w:pPr>
        <w:rPr>
          <w:rFonts w:cstheme="minorHAnsi"/>
          <w:sz w:val="24"/>
          <w:szCs w:val="24"/>
        </w:rPr>
      </w:pPr>
      <w:r w:rsidRPr="00C74206">
        <w:rPr>
          <w:rFonts w:cstheme="minorHAnsi"/>
          <w:sz w:val="24"/>
          <w:szCs w:val="24"/>
        </w:rPr>
        <w:t>No existen conflictos de interés.</w:t>
      </w:r>
    </w:p>
    <w:p w:rsidR="00C74206" w:rsidRPr="00C74206" w:rsidRDefault="00C74206">
      <w:pPr>
        <w:rPr>
          <w:rFonts w:cstheme="minorHAnsi"/>
          <w:sz w:val="24"/>
          <w:szCs w:val="24"/>
        </w:rPr>
      </w:pPr>
    </w:p>
    <w:p w:rsidR="00C74206" w:rsidRPr="00C74206" w:rsidRDefault="00C74206">
      <w:pPr>
        <w:rPr>
          <w:rFonts w:cstheme="minorHAnsi"/>
          <w:sz w:val="24"/>
          <w:szCs w:val="24"/>
        </w:rPr>
      </w:pPr>
      <w:r w:rsidRPr="00C74206">
        <w:rPr>
          <w:rFonts w:cstheme="minorHAnsi"/>
          <w:sz w:val="24"/>
          <w:szCs w:val="24"/>
        </w:rPr>
        <w:t>La investigación para la tesis doctoral de la que deriva este</w:t>
      </w:r>
      <w:r w:rsidR="004E6138">
        <w:rPr>
          <w:rFonts w:cstheme="minorHAnsi"/>
          <w:sz w:val="24"/>
          <w:szCs w:val="24"/>
        </w:rPr>
        <w:t xml:space="preserve"> artículo, se realiza gracias a </w:t>
      </w:r>
      <w:r w:rsidRPr="00C74206">
        <w:rPr>
          <w:rFonts w:cstheme="minorHAnsi"/>
          <w:sz w:val="24"/>
          <w:szCs w:val="24"/>
        </w:rPr>
        <w:t>los recursos de la Farmacia José Daniel Carballeira en Santander.</w:t>
      </w:r>
    </w:p>
    <w:sectPr w:rsidR="00C74206" w:rsidRPr="00C74206" w:rsidSect="00480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A66"/>
    <w:rsid w:val="004807BF"/>
    <w:rsid w:val="004E6138"/>
    <w:rsid w:val="0051349C"/>
    <w:rsid w:val="006E48CC"/>
    <w:rsid w:val="0083007C"/>
    <w:rsid w:val="00AC0320"/>
    <w:rsid w:val="00AC1A66"/>
    <w:rsid w:val="00C7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</dc:creator>
  <cp:keywords/>
  <dc:description/>
  <cp:lastModifiedBy>irene</cp:lastModifiedBy>
  <cp:revision>2</cp:revision>
  <dcterms:created xsi:type="dcterms:W3CDTF">2018-04-23T09:57:00Z</dcterms:created>
  <dcterms:modified xsi:type="dcterms:W3CDTF">2018-04-23T12:41:00Z</dcterms:modified>
</cp:coreProperties>
</file>