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D60" w:rsidRPr="00315AF9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FF0000"/>
        </w:rPr>
      </w:pPr>
      <w:r w:rsidRPr="00315AF9">
        <w:rPr>
          <w:rFonts w:ascii="Times New Roman" w:hAnsi="Times New Roman" w:cs="Times New Roman"/>
          <w:b/>
        </w:rPr>
        <w:t>Tabla 1</w:t>
      </w:r>
      <w:r w:rsidRPr="00315AF9">
        <w:rPr>
          <w:rFonts w:ascii="Times New Roman" w:hAnsi="Times New Roman" w:cs="Times New Roman"/>
        </w:rPr>
        <w:t xml:space="preserve">. Resultados de la valoración por los profesionales sanitarios de la versión definitiva del </w:t>
      </w:r>
      <w:r w:rsidRPr="000E3278">
        <w:rPr>
          <w:rFonts w:ascii="Times New Roman" w:hAnsi="Times New Roman" w:cs="Times New Roman"/>
        </w:rPr>
        <w:t>cuestionario expresados en media (</w:t>
      </w:r>
      <w:r w:rsidRPr="003D0C5E">
        <w:rPr>
          <w:rFonts w:ascii="Times New Roman" w:hAnsi="Times New Roman" w:cs="Times New Roman"/>
        </w:rPr>
        <w:t>DE).</w:t>
      </w:r>
      <w:r>
        <w:rPr>
          <w:rFonts w:ascii="Times New Roman" w:hAnsi="Times New Roman" w:cs="Times New Roman"/>
        </w:rPr>
        <w:t xml:space="preserve"> N = número de expertos; AP = atención primaria.</w:t>
      </w:r>
    </w:p>
    <w:tbl>
      <w:tblPr>
        <w:tblW w:w="8789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028"/>
        <w:gridCol w:w="1928"/>
        <w:gridCol w:w="1864"/>
        <w:gridCol w:w="2127"/>
        <w:gridCol w:w="1842"/>
      </w:tblGrid>
      <w:tr w:rsidR="00402D60" w:rsidRPr="0033274A" w:rsidTr="00436518">
        <w:trPr>
          <w:trHeight w:val="539"/>
        </w:trPr>
        <w:tc>
          <w:tcPr>
            <w:tcW w:w="10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D60" w:rsidRPr="00632CF2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N.º del ítem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D60" w:rsidRPr="00632CF2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Farmacéuticos (N=10)</w:t>
            </w:r>
          </w:p>
        </w:tc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D60" w:rsidRPr="00632CF2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Médicos de AP (N=9)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D60" w:rsidRPr="00632CF2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Ginecólogos (N=11)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402D60" w:rsidRPr="00632CF2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Total</w:t>
            </w:r>
          </w:p>
          <w:p w:rsidR="00402D60" w:rsidRPr="00632CF2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(N=30)</w:t>
            </w:r>
          </w:p>
        </w:tc>
      </w:tr>
      <w:tr w:rsidR="00402D60" w:rsidRPr="0033274A" w:rsidTr="00436518">
        <w:trPr>
          <w:trHeight w:val="373"/>
        </w:trPr>
        <w:tc>
          <w:tcPr>
            <w:tcW w:w="1028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4,70 (0,48)</w:t>
            </w:r>
          </w:p>
        </w:tc>
        <w:tc>
          <w:tcPr>
            <w:tcW w:w="1864" w:type="dxa"/>
            <w:tcBorders>
              <w:top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4,67 (0,50)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4,64 (0,50)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4,67 (0,49)</w:t>
            </w:r>
          </w:p>
        </w:tc>
      </w:tr>
      <w:tr w:rsidR="00402D60" w:rsidRPr="0033274A" w:rsidTr="00436518">
        <w:trPr>
          <w:trHeight w:val="373"/>
        </w:trPr>
        <w:tc>
          <w:tcPr>
            <w:tcW w:w="1028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4,20 (0,42)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4,22(0,44)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4,18(0,40)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4,20 (0,42)</w:t>
            </w:r>
          </w:p>
        </w:tc>
      </w:tr>
      <w:tr w:rsidR="00402D60" w:rsidRPr="0033274A" w:rsidTr="00436518">
        <w:trPr>
          <w:trHeight w:val="373"/>
        </w:trPr>
        <w:tc>
          <w:tcPr>
            <w:tcW w:w="1028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4,40 (0,52)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4,44(0,53)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4,27 (0,47)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4,37(0,51)</w:t>
            </w:r>
          </w:p>
        </w:tc>
      </w:tr>
      <w:tr w:rsidR="00402D60" w:rsidRPr="0033274A" w:rsidTr="00436518">
        <w:trPr>
          <w:trHeight w:val="373"/>
        </w:trPr>
        <w:tc>
          <w:tcPr>
            <w:tcW w:w="1028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4,40 (0,52)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4,44(0,53)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4,18 (0,40)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4,34 (0,48)</w:t>
            </w:r>
          </w:p>
        </w:tc>
      </w:tr>
      <w:tr w:rsidR="00402D60" w:rsidRPr="0033274A" w:rsidTr="00436518">
        <w:trPr>
          <w:trHeight w:val="373"/>
        </w:trPr>
        <w:tc>
          <w:tcPr>
            <w:tcW w:w="1028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4,40 (0,52)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4,33 (0,71)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3,73 (0,65)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4,15 (0,63)</w:t>
            </w:r>
          </w:p>
        </w:tc>
      </w:tr>
      <w:tr w:rsidR="00402D60" w:rsidRPr="0033274A" w:rsidTr="00436518">
        <w:trPr>
          <w:trHeight w:val="246"/>
        </w:trPr>
        <w:tc>
          <w:tcPr>
            <w:tcW w:w="1028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4,20 (0,79)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4,44(0,53)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4,00 (0,63)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4,21 (0,65)</w:t>
            </w:r>
          </w:p>
        </w:tc>
      </w:tr>
      <w:tr w:rsidR="00402D60" w:rsidRPr="0033274A" w:rsidTr="00436518">
        <w:trPr>
          <w:trHeight w:val="294"/>
        </w:trPr>
        <w:tc>
          <w:tcPr>
            <w:tcW w:w="1028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4,80 (0,42)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4,89 (0,33)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4,55 (0,52)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4,75 (0,42)</w:t>
            </w:r>
          </w:p>
        </w:tc>
      </w:tr>
      <w:tr w:rsidR="00402D60" w:rsidRPr="0033274A" w:rsidTr="00436518">
        <w:trPr>
          <w:trHeight w:val="332"/>
        </w:trPr>
        <w:tc>
          <w:tcPr>
            <w:tcW w:w="1028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4,10 (0,74)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4,11 (0,78)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3,91 (0,70)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4,04 (0,74)</w:t>
            </w:r>
          </w:p>
        </w:tc>
      </w:tr>
      <w:tr w:rsidR="00402D60" w:rsidRPr="0033274A" w:rsidTr="00436518">
        <w:trPr>
          <w:trHeight w:val="294"/>
        </w:trPr>
        <w:tc>
          <w:tcPr>
            <w:tcW w:w="1028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D60" w:rsidRPr="0033274A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327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28" w:type="dxa"/>
            <w:tcBorders>
              <w:left w:val="single" w:sz="12" w:space="0" w:color="auto"/>
            </w:tcBorders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4,60 (0,52)</w:t>
            </w:r>
          </w:p>
        </w:tc>
        <w:tc>
          <w:tcPr>
            <w:tcW w:w="1864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4,33 (0,50)</w:t>
            </w:r>
          </w:p>
        </w:tc>
        <w:tc>
          <w:tcPr>
            <w:tcW w:w="2127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3,91 (0,70)</w:t>
            </w:r>
          </w:p>
        </w:tc>
        <w:tc>
          <w:tcPr>
            <w:tcW w:w="1842" w:type="dxa"/>
            <w:shd w:val="clear" w:color="auto" w:fill="auto"/>
          </w:tcPr>
          <w:p w:rsidR="00402D60" w:rsidRPr="009E4C3E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E4C3E">
              <w:rPr>
                <w:rFonts w:ascii="Times New Roman" w:hAnsi="Times New Roman" w:cs="Times New Roman"/>
              </w:rPr>
              <w:t>4,28 (0,57)</w:t>
            </w:r>
          </w:p>
        </w:tc>
      </w:tr>
    </w:tbl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02D60" w:rsidRPr="00171E5B" w:rsidRDefault="00402D60" w:rsidP="00402D60">
      <w:pPr>
        <w:spacing w:line="360" w:lineRule="auto"/>
        <w:jc w:val="both"/>
        <w:rPr>
          <w:rFonts w:ascii="Times New Roman" w:hAnsi="Times New Roman" w:cs="Times New Roman"/>
        </w:rPr>
      </w:pPr>
      <w:r w:rsidRPr="00095D44">
        <w:rPr>
          <w:rFonts w:ascii="Times New Roman" w:hAnsi="Times New Roman" w:cs="Times New Roman"/>
          <w:b/>
        </w:rPr>
        <w:lastRenderedPageBreak/>
        <w:t xml:space="preserve">Tabla </w:t>
      </w:r>
      <w:r>
        <w:rPr>
          <w:rFonts w:ascii="Times New Roman" w:hAnsi="Times New Roman" w:cs="Times New Roman"/>
          <w:b/>
        </w:rPr>
        <w:t>2</w:t>
      </w:r>
      <w:r w:rsidRPr="00095D44">
        <w:rPr>
          <w:rFonts w:ascii="Times New Roman" w:hAnsi="Times New Roman" w:cs="Times New Roman"/>
          <w:b/>
        </w:rPr>
        <w:t>.</w:t>
      </w:r>
      <w:r w:rsidRPr="007C1953">
        <w:rPr>
          <w:rFonts w:ascii="Times New Roman" w:hAnsi="Times New Roman" w:cs="Times New Roman"/>
        </w:rPr>
        <w:t xml:space="preserve"> Agrupación de los ítems en factores según el resultado del análisis factorial</w:t>
      </w:r>
      <w:r>
        <w:rPr>
          <w:rFonts w:ascii="Times New Roman" w:hAnsi="Times New Roman" w:cs="Times New Roman"/>
        </w:rPr>
        <w:t>.</w:t>
      </w:r>
    </w:p>
    <w:tbl>
      <w:tblPr>
        <w:tblStyle w:val="Tablaconcuadrcula"/>
        <w:tblpPr w:leftFromText="141" w:rightFromText="141" w:vertAnchor="page" w:horzAnchor="page" w:tblpX="2170" w:tblpY="1958"/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600" w:firstRow="0" w:lastRow="0" w:firstColumn="0" w:lastColumn="0" w:noHBand="1" w:noVBand="1"/>
      </w:tblPr>
      <w:tblGrid>
        <w:gridCol w:w="959"/>
        <w:gridCol w:w="992"/>
        <w:gridCol w:w="1134"/>
        <w:gridCol w:w="1134"/>
        <w:gridCol w:w="1134"/>
        <w:gridCol w:w="1134"/>
        <w:gridCol w:w="1134"/>
        <w:gridCol w:w="1134"/>
      </w:tblGrid>
      <w:tr w:rsidR="00402D60" w:rsidRPr="005F6AF8" w:rsidTr="00436518">
        <w:trPr>
          <w:cantSplit/>
          <w:trHeight w:val="699"/>
          <w:tblHeader/>
        </w:trPr>
        <w:tc>
          <w:tcPr>
            <w:tcW w:w="959" w:type="dxa"/>
            <w:tcBorders>
              <w:bottom w:val="single" w:sz="12" w:space="0" w:color="auto"/>
              <w:right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N.º de bloque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N.º de ítem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Factor 1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Factor 2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Factor 3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Factor 4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Factor 5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402D60" w:rsidRPr="00632CF2" w:rsidRDefault="00402D60" w:rsidP="004365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2CF2">
              <w:rPr>
                <w:rFonts w:ascii="Times New Roman" w:hAnsi="Times New Roman" w:cs="Times New Roman"/>
                <w:b/>
              </w:rPr>
              <w:t>Factor 6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0,401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0,861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0,637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0,405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0,329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0,453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0,794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0,741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0,857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0,321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</w:tr>
      <w:tr w:rsidR="00402D60" w:rsidTr="00436518">
        <w:trPr>
          <w:cantSplit/>
          <w:trHeight w:val="379"/>
          <w:tblHeader/>
        </w:trPr>
        <w:tc>
          <w:tcPr>
            <w:tcW w:w="959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0,351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0,674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7C1953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0,643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0,724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  <w:tr w:rsidR="00402D60" w:rsidTr="00436518">
        <w:trPr>
          <w:cantSplit/>
          <w:trHeight w:val="371"/>
          <w:tblHeader/>
        </w:trPr>
        <w:tc>
          <w:tcPr>
            <w:tcW w:w="959" w:type="dxa"/>
            <w:vMerge/>
            <w:tcBorders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402D60" w:rsidRPr="009754D8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754D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0,830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02D60" w:rsidRPr="007C1953" w:rsidRDefault="00402D60" w:rsidP="004365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1953">
              <w:rPr>
                <w:rFonts w:ascii="Times New Roman" w:hAnsi="Times New Roman" w:cs="Times New Roman"/>
              </w:rPr>
              <w:t>-</w:t>
            </w:r>
          </w:p>
        </w:tc>
      </w:tr>
    </w:tbl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tbl>
      <w:tblPr>
        <w:tblStyle w:val="Tablaconcuadrcula"/>
        <w:tblpPr w:leftFromText="141" w:rightFromText="141" w:vertAnchor="page" w:horzAnchor="page" w:tblpX="1990" w:tblpY="2318"/>
        <w:tblW w:w="80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0"/>
        <w:gridCol w:w="4010"/>
        <w:gridCol w:w="1704"/>
      </w:tblGrid>
      <w:tr w:rsidR="00402D60" w:rsidRPr="009D6EBF" w:rsidTr="00436518">
        <w:trPr>
          <w:trHeight w:val="339"/>
        </w:trPr>
        <w:tc>
          <w:tcPr>
            <w:tcW w:w="238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0561E" w:rsidRDefault="00402D60" w:rsidP="00436518">
            <w:pPr>
              <w:spacing w:line="360" w:lineRule="auto"/>
              <w:jc w:val="center"/>
              <w:rPr>
                <w:b/>
              </w:rPr>
            </w:pPr>
            <w:r w:rsidRPr="0060561E">
              <w:rPr>
                <w:b/>
              </w:rPr>
              <w:t>País de nacimiento</w:t>
            </w:r>
          </w:p>
        </w:tc>
        <w:tc>
          <w:tcPr>
            <w:tcW w:w="4010" w:type="dxa"/>
            <w:tcBorders>
              <w:top w:val="single" w:sz="12" w:space="0" w:color="auto"/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España</w:t>
            </w:r>
          </w:p>
        </w:tc>
        <w:tc>
          <w:tcPr>
            <w:tcW w:w="1704" w:type="dxa"/>
            <w:tcBorders>
              <w:top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81 (77,2%)</w:t>
            </w:r>
          </w:p>
        </w:tc>
      </w:tr>
      <w:tr w:rsidR="00402D60" w:rsidRPr="009D6EBF" w:rsidTr="00436518">
        <w:trPr>
          <w:trHeight w:val="550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60561E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  <w:bottom w:val="single" w:sz="12" w:space="0" w:color="auto"/>
            </w:tcBorders>
          </w:tcPr>
          <w:p w:rsidR="00402D60" w:rsidRDefault="00402D60" w:rsidP="00436518">
            <w:pPr>
              <w:spacing w:line="360" w:lineRule="auto"/>
            </w:pPr>
            <w:r>
              <w:t>Países de habla castellana</w:t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402D60" w:rsidRDefault="00402D60" w:rsidP="00436518">
            <w:pPr>
              <w:spacing w:line="360" w:lineRule="auto"/>
            </w:pPr>
            <w:r>
              <w:t xml:space="preserve">24 (22,9%) </w:t>
            </w:r>
          </w:p>
        </w:tc>
      </w:tr>
      <w:tr w:rsidR="00402D60" w:rsidRPr="009D6EBF" w:rsidTr="00436518">
        <w:trPr>
          <w:trHeight w:val="466"/>
        </w:trPr>
        <w:tc>
          <w:tcPr>
            <w:tcW w:w="238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  <w:r w:rsidRPr="009D6EBF">
              <w:rPr>
                <w:b/>
              </w:rPr>
              <w:t>Nivel educativo</w:t>
            </w:r>
          </w:p>
        </w:tc>
        <w:tc>
          <w:tcPr>
            <w:tcW w:w="4010" w:type="dxa"/>
            <w:tcBorders>
              <w:top w:val="single" w:sz="12" w:space="0" w:color="auto"/>
              <w:left w:val="single" w:sz="12" w:space="0" w:color="auto"/>
            </w:tcBorders>
          </w:tcPr>
          <w:p w:rsidR="00402D60" w:rsidRDefault="00402D60" w:rsidP="00436518">
            <w:pPr>
              <w:spacing w:line="360" w:lineRule="auto"/>
            </w:pPr>
            <w:r w:rsidRPr="009D6EBF">
              <w:t>Educación Primaria</w:t>
            </w:r>
          </w:p>
        </w:tc>
        <w:tc>
          <w:tcPr>
            <w:tcW w:w="1704" w:type="dxa"/>
            <w:tcBorders>
              <w:top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7 (6,7%)</w:t>
            </w:r>
          </w:p>
        </w:tc>
      </w:tr>
      <w:tr w:rsidR="00402D60" w:rsidRPr="009D6EBF" w:rsidTr="00436518">
        <w:trPr>
          <w:trHeight w:val="149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9D6EBF">
              <w:t>Educación Secundaria</w:t>
            </w:r>
          </w:p>
        </w:tc>
        <w:tc>
          <w:tcPr>
            <w:tcW w:w="1704" w:type="dxa"/>
          </w:tcPr>
          <w:p w:rsidR="00402D60" w:rsidRPr="009D6EBF" w:rsidRDefault="00402D60" w:rsidP="00436518">
            <w:pPr>
              <w:spacing w:line="360" w:lineRule="auto"/>
            </w:pPr>
            <w:r>
              <w:t>7 (6,7%)</w:t>
            </w:r>
          </w:p>
        </w:tc>
      </w:tr>
      <w:tr w:rsidR="00402D60" w:rsidRPr="009D6EBF" w:rsidTr="00436518">
        <w:trPr>
          <w:trHeight w:val="149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460BED" w:rsidRDefault="00402D60" w:rsidP="00436518">
            <w:pPr>
              <w:spacing w:line="360" w:lineRule="auto"/>
            </w:pPr>
            <w:r>
              <w:t>Bachillerato/</w:t>
            </w:r>
            <w:r w:rsidRPr="00460BED">
              <w:t>Ciclos Formativos de Grado Medio</w:t>
            </w:r>
          </w:p>
        </w:tc>
        <w:tc>
          <w:tcPr>
            <w:tcW w:w="1704" w:type="dxa"/>
          </w:tcPr>
          <w:p w:rsidR="00402D60" w:rsidRPr="009D6EBF" w:rsidRDefault="00402D60" w:rsidP="00436518">
            <w:pPr>
              <w:spacing w:line="360" w:lineRule="auto"/>
            </w:pPr>
            <w:r>
              <w:t>34 (22,4%)</w:t>
            </w:r>
          </w:p>
        </w:tc>
      </w:tr>
      <w:tr w:rsidR="00402D60" w:rsidRPr="009D6EBF" w:rsidTr="00436518">
        <w:trPr>
          <w:trHeight w:val="321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</w:pPr>
          </w:p>
        </w:tc>
        <w:tc>
          <w:tcPr>
            <w:tcW w:w="4010" w:type="dxa"/>
            <w:tcBorders>
              <w:left w:val="single" w:sz="12" w:space="0" w:color="auto"/>
              <w:bottom w:val="single" w:sz="12" w:space="0" w:color="auto"/>
            </w:tcBorders>
          </w:tcPr>
          <w:p w:rsidR="00402D60" w:rsidRPr="00460BED" w:rsidRDefault="00402D60" w:rsidP="00436518">
            <w:pPr>
              <w:spacing w:line="360" w:lineRule="auto"/>
            </w:pPr>
            <w:r>
              <w:t>Enseñanza Universitaria/</w:t>
            </w:r>
            <w:r w:rsidRPr="00460BED">
              <w:t>Ciclos Formativos de Grado Superior</w:t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402D60" w:rsidRPr="00375FF6" w:rsidRDefault="00402D60" w:rsidP="00436518">
            <w:pPr>
              <w:spacing w:line="360" w:lineRule="auto"/>
            </w:pPr>
            <w:r w:rsidRPr="00375FF6">
              <w:t>57(54,3%)</w:t>
            </w:r>
          </w:p>
        </w:tc>
      </w:tr>
      <w:tr w:rsidR="00402D60" w:rsidRPr="009D6EBF" w:rsidTr="00436518">
        <w:trPr>
          <w:trHeight w:val="438"/>
        </w:trPr>
        <w:tc>
          <w:tcPr>
            <w:tcW w:w="238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  <w:r w:rsidRPr="009D6EBF">
              <w:rPr>
                <w:b/>
              </w:rPr>
              <w:t>Estado</w:t>
            </w:r>
          </w:p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  <w:r w:rsidRPr="009D6EBF">
              <w:rPr>
                <w:b/>
              </w:rPr>
              <w:t>civil</w:t>
            </w:r>
          </w:p>
        </w:tc>
        <w:tc>
          <w:tcPr>
            <w:tcW w:w="4010" w:type="dxa"/>
            <w:tcBorders>
              <w:top w:val="single" w:sz="12" w:space="0" w:color="auto"/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9D6EBF">
              <w:t>Soltera</w:t>
            </w:r>
          </w:p>
        </w:tc>
        <w:tc>
          <w:tcPr>
            <w:tcW w:w="1704" w:type="dxa"/>
            <w:tcBorders>
              <w:top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28 (26,7%)</w:t>
            </w:r>
          </w:p>
        </w:tc>
      </w:tr>
      <w:tr w:rsidR="00402D60" w:rsidRPr="009D6EBF" w:rsidTr="00436518">
        <w:trPr>
          <w:trHeight w:val="345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Casada</w:t>
            </w:r>
          </w:p>
        </w:tc>
        <w:tc>
          <w:tcPr>
            <w:tcW w:w="1704" w:type="dxa"/>
          </w:tcPr>
          <w:p w:rsidR="00402D60" w:rsidRPr="009D6EBF" w:rsidRDefault="00402D60" w:rsidP="00436518">
            <w:pPr>
              <w:spacing w:line="360" w:lineRule="auto"/>
            </w:pPr>
            <w:r>
              <w:t>65 (61,9%)</w:t>
            </w:r>
          </w:p>
        </w:tc>
      </w:tr>
      <w:tr w:rsidR="00402D60" w:rsidRPr="009D6EBF" w:rsidTr="00436518">
        <w:trPr>
          <w:trHeight w:val="404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9D6EBF">
              <w:t>Viuda</w:t>
            </w:r>
          </w:p>
        </w:tc>
        <w:tc>
          <w:tcPr>
            <w:tcW w:w="1704" w:type="dxa"/>
          </w:tcPr>
          <w:p w:rsidR="00402D60" w:rsidRPr="009D6EBF" w:rsidRDefault="00402D60" w:rsidP="00436518">
            <w:pPr>
              <w:spacing w:line="360" w:lineRule="auto"/>
            </w:pPr>
            <w:r>
              <w:t>3 (2,9%)</w:t>
            </w:r>
          </w:p>
        </w:tc>
      </w:tr>
      <w:tr w:rsidR="00402D60" w:rsidRPr="009D6EBF" w:rsidTr="00436518">
        <w:trPr>
          <w:trHeight w:val="218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  <w:bottom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Divorciada o s</w:t>
            </w:r>
            <w:r w:rsidRPr="009D6EBF">
              <w:t>eparada</w:t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9 (8,6%)</w:t>
            </w:r>
          </w:p>
        </w:tc>
      </w:tr>
      <w:tr w:rsidR="00402D60" w:rsidRPr="009D6EBF" w:rsidTr="00436518">
        <w:trPr>
          <w:trHeight w:val="269"/>
        </w:trPr>
        <w:tc>
          <w:tcPr>
            <w:tcW w:w="238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  <w:r w:rsidRPr="009D6EBF">
              <w:rPr>
                <w:b/>
              </w:rPr>
              <w:t>Situación laboral</w:t>
            </w:r>
          </w:p>
        </w:tc>
        <w:tc>
          <w:tcPr>
            <w:tcW w:w="4010" w:type="dxa"/>
            <w:tcBorders>
              <w:top w:val="single" w:sz="12" w:space="0" w:color="auto"/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9D6EBF">
              <w:t>Trabaja</w:t>
            </w:r>
          </w:p>
        </w:tc>
        <w:tc>
          <w:tcPr>
            <w:tcW w:w="1704" w:type="dxa"/>
            <w:tcBorders>
              <w:top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 xml:space="preserve">79 (75,2%) </w:t>
            </w:r>
          </w:p>
        </w:tc>
      </w:tr>
      <w:tr w:rsidR="00402D60" w:rsidRPr="009D6EBF" w:rsidTr="00436518">
        <w:trPr>
          <w:trHeight w:val="321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9D6EBF">
              <w:t>Ama de casa</w:t>
            </w:r>
          </w:p>
        </w:tc>
        <w:tc>
          <w:tcPr>
            <w:tcW w:w="1704" w:type="dxa"/>
          </w:tcPr>
          <w:p w:rsidR="00402D60" w:rsidRPr="009D6EBF" w:rsidRDefault="00402D60" w:rsidP="00436518">
            <w:pPr>
              <w:spacing w:line="360" w:lineRule="auto"/>
            </w:pPr>
            <w:r>
              <w:t>7 (6,7%)</w:t>
            </w:r>
          </w:p>
        </w:tc>
      </w:tr>
      <w:tr w:rsidR="00402D60" w:rsidRPr="009D6EBF" w:rsidTr="00436518">
        <w:trPr>
          <w:trHeight w:val="201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9D6EBF">
              <w:t>Parada</w:t>
            </w:r>
          </w:p>
        </w:tc>
        <w:tc>
          <w:tcPr>
            <w:tcW w:w="1704" w:type="dxa"/>
          </w:tcPr>
          <w:p w:rsidR="00402D60" w:rsidRPr="009D6EBF" w:rsidRDefault="00402D60" w:rsidP="00436518">
            <w:pPr>
              <w:spacing w:line="360" w:lineRule="auto"/>
            </w:pPr>
            <w:r>
              <w:t>9 (8,6%)</w:t>
            </w:r>
          </w:p>
        </w:tc>
      </w:tr>
      <w:tr w:rsidR="00402D60" w:rsidRPr="009D6EBF" w:rsidTr="00436518">
        <w:trPr>
          <w:trHeight w:val="392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>Jubilada</w:t>
            </w:r>
          </w:p>
        </w:tc>
        <w:tc>
          <w:tcPr>
            <w:tcW w:w="1704" w:type="dxa"/>
          </w:tcPr>
          <w:p w:rsidR="00402D60" w:rsidRDefault="00402D60" w:rsidP="00436518">
            <w:pPr>
              <w:spacing w:line="360" w:lineRule="auto"/>
            </w:pPr>
            <w:r>
              <w:t>5 (4,8%)</w:t>
            </w:r>
          </w:p>
        </w:tc>
      </w:tr>
      <w:tr w:rsidR="00402D60" w:rsidRPr="009D6EBF" w:rsidTr="00436518">
        <w:trPr>
          <w:trHeight w:val="320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  <w:bottom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9D6EBF">
              <w:t>Estudiante</w:t>
            </w:r>
          </w:p>
        </w:tc>
        <w:tc>
          <w:tcPr>
            <w:tcW w:w="1704" w:type="dxa"/>
            <w:tcBorders>
              <w:bottom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>
              <w:t xml:space="preserve">5 (4,8%) </w:t>
            </w:r>
          </w:p>
        </w:tc>
      </w:tr>
      <w:tr w:rsidR="00402D60" w:rsidRPr="009D6EBF" w:rsidTr="00436518">
        <w:trPr>
          <w:trHeight w:val="230"/>
        </w:trPr>
        <w:tc>
          <w:tcPr>
            <w:tcW w:w="238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3E3A15" w:rsidRDefault="00402D60" w:rsidP="00436518">
            <w:pPr>
              <w:tabs>
                <w:tab w:val="left" w:pos="480"/>
              </w:tabs>
              <w:jc w:val="center"/>
            </w:pPr>
            <w:r>
              <w:rPr>
                <w:b/>
              </w:rPr>
              <w:t xml:space="preserve">Frecuencia de </w:t>
            </w:r>
            <w:r w:rsidRPr="00EA53D8">
              <w:rPr>
                <w:b/>
              </w:rPr>
              <w:t>infecciones vaginales en los últimos 12 meses</w:t>
            </w:r>
          </w:p>
        </w:tc>
        <w:tc>
          <w:tcPr>
            <w:tcW w:w="4010" w:type="dxa"/>
            <w:tcBorders>
              <w:top w:val="single" w:sz="12" w:space="0" w:color="auto"/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EA53D8">
              <w:t>Ninguna vez</w:t>
            </w:r>
          </w:p>
        </w:tc>
        <w:tc>
          <w:tcPr>
            <w:tcW w:w="1704" w:type="dxa"/>
            <w:tcBorders>
              <w:top w:val="single" w:sz="12" w:space="0" w:color="auto"/>
            </w:tcBorders>
          </w:tcPr>
          <w:p w:rsidR="00402D60" w:rsidRDefault="00402D60" w:rsidP="00436518">
            <w:pPr>
              <w:spacing w:line="360" w:lineRule="auto"/>
            </w:pPr>
            <w:r>
              <w:t xml:space="preserve">26 (24,8%) </w:t>
            </w:r>
          </w:p>
        </w:tc>
      </w:tr>
      <w:tr w:rsidR="00402D60" w:rsidRPr="009D6EBF" w:rsidTr="00436518">
        <w:trPr>
          <w:trHeight w:val="210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</w:pPr>
            <w:r w:rsidRPr="00EA53D8">
              <w:t>1 vez</w:t>
            </w:r>
          </w:p>
        </w:tc>
        <w:tc>
          <w:tcPr>
            <w:tcW w:w="1704" w:type="dxa"/>
          </w:tcPr>
          <w:p w:rsidR="00402D60" w:rsidRDefault="00402D60" w:rsidP="00436518">
            <w:pPr>
              <w:spacing w:line="360" w:lineRule="auto"/>
            </w:pPr>
            <w:r>
              <w:t>35 (33,3%)</w:t>
            </w:r>
          </w:p>
        </w:tc>
      </w:tr>
      <w:tr w:rsidR="00402D60" w:rsidRPr="009D6EBF" w:rsidTr="00436518">
        <w:trPr>
          <w:trHeight w:val="160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Default="00402D60" w:rsidP="00436518">
            <w:pPr>
              <w:spacing w:line="360" w:lineRule="auto"/>
            </w:pPr>
            <w:r w:rsidRPr="00EA53D8">
              <w:t>2 veces</w:t>
            </w:r>
          </w:p>
        </w:tc>
        <w:tc>
          <w:tcPr>
            <w:tcW w:w="1704" w:type="dxa"/>
          </w:tcPr>
          <w:p w:rsidR="00402D60" w:rsidRDefault="00402D60" w:rsidP="00436518">
            <w:pPr>
              <w:spacing w:line="360" w:lineRule="auto"/>
            </w:pPr>
            <w:r>
              <w:t>18 (17,1%)</w:t>
            </w:r>
          </w:p>
        </w:tc>
      </w:tr>
      <w:tr w:rsidR="00402D60" w:rsidRPr="009D6EBF" w:rsidTr="00436518">
        <w:trPr>
          <w:trHeight w:val="200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Default="00402D60" w:rsidP="00436518">
            <w:pPr>
              <w:spacing w:line="360" w:lineRule="auto"/>
            </w:pPr>
            <w:r w:rsidRPr="00EA53D8">
              <w:t>3 veces</w:t>
            </w:r>
          </w:p>
        </w:tc>
        <w:tc>
          <w:tcPr>
            <w:tcW w:w="1704" w:type="dxa"/>
          </w:tcPr>
          <w:p w:rsidR="00402D60" w:rsidRDefault="00402D60" w:rsidP="00436518">
            <w:pPr>
              <w:spacing w:line="360" w:lineRule="auto"/>
            </w:pPr>
            <w:r>
              <w:t>10 (9,5%)</w:t>
            </w:r>
          </w:p>
        </w:tc>
      </w:tr>
      <w:tr w:rsidR="00402D60" w:rsidRPr="009D6EBF" w:rsidTr="00436518">
        <w:trPr>
          <w:trHeight w:val="265"/>
        </w:trPr>
        <w:tc>
          <w:tcPr>
            <w:tcW w:w="2380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D60" w:rsidRPr="009D6EBF" w:rsidRDefault="00402D60" w:rsidP="004365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10" w:type="dxa"/>
            <w:tcBorders>
              <w:left w:val="single" w:sz="12" w:space="0" w:color="auto"/>
            </w:tcBorders>
          </w:tcPr>
          <w:p w:rsidR="00402D60" w:rsidRDefault="00402D60" w:rsidP="00436518">
            <w:pPr>
              <w:spacing w:line="360" w:lineRule="auto"/>
            </w:pPr>
            <w:r w:rsidRPr="00EA53D8">
              <w:t>4 veces o más</w:t>
            </w:r>
          </w:p>
        </w:tc>
        <w:tc>
          <w:tcPr>
            <w:tcW w:w="1704" w:type="dxa"/>
          </w:tcPr>
          <w:p w:rsidR="00402D60" w:rsidRDefault="00402D60" w:rsidP="00436518">
            <w:pPr>
              <w:spacing w:line="360" w:lineRule="auto"/>
            </w:pPr>
            <w:r>
              <w:t>16 (15,2%)</w:t>
            </w:r>
          </w:p>
        </w:tc>
      </w:tr>
    </w:tbl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Tabla 3. </w:t>
      </w:r>
      <w:r w:rsidRPr="007C2842">
        <w:rPr>
          <w:rFonts w:ascii="Times New Roman" w:hAnsi="Times New Roman" w:cs="Times New Roman"/>
        </w:rPr>
        <w:t>Características so</w:t>
      </w:r>
      <w:r>
        <w:rPr>
          <w:rFonts w:ascii="Times New Roman" w:hAnsi="Times New Roman" w:cs="Times New Roman"/>
        </w:rPr>
        <w:t>ciodemográfica</w:t>
      </w:r>
      <w:r w:rsidRPr="007C2842">
        <w:rPr>
          <w:rFonts w:ascii="Times New Roman" w:hAnsi="Times New Roman" w:cs="Times New Roman"/>
        </w:rPr>
        <w:t>s de la población</w:t>
      </w:r>
      <w:r>
        <w:rPr>
          <w:rFonts w:ascii="Times New Roman" w:hAnsi="Times New Roman" w:cs="Times New Roman"/>
        </w:rPr>
        <w:t xml:space="preserve"> - Número de pacientes (% de la muestra).</w:t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02D60" w:rsidRPr="00171E5B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402D60">
        <w:rPr>
          <w:rFonts w:ascii="Times New Roman" w:hAnsi="Times New Roman" w:cs="Times New Roman"/>
          <w:b/>
        </w:rPr>
        <w:t xml:space="preserve">Figura 1. </w:t>
      </w:r>
      <w:r w:rsidRPr="00402D60">
        <w:rPr>
          <w:rFonts w:ascii="Times New Roman" w:hAnsi="Times New Roman" w:cs="Times New Roman"/>
        </w:rPr>
        <w:t>Histograma de edad de pacientes que han sufrido infecciones vulvo-vaginales en los últimos 12 meses.</w:t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noProof/>
          <w:lang w:val="es-ES"/>
        </w:rPr>
        <w:drawing>
          <wp:inline distT="0" distB="0" distL="0" distR="0" wp14:anchorId="728ED8FD" wp14:editId="6D275D2A">
            <wp:extent cx="4568402" cy="3215428"/>
            <wp:effectExtent l="0" t="0" r="29210" b="36195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02D60">
        <w:rPr>
          <w:rFonts w:ascii="Times New Roman" w:hAnsi="Times New Roman" w:cs="Times New Roman"/>
          <w:b/>
        </w:rPr>
        <w:t xml:space="preserve">Figura 2. </w:t>
      </w:r>
      <w:r w:rsidRPr="00402D60">
        <w:rPr>
          <w:rFonts w:ascii="Times New Roman" w:hAnsi="Times New Roman" w:cs="Times New Roman"/>
        </w:rPr>
        <w:t>Distribución de los porcentajes de respuestas acertadas a los ítems del cuestionario antes de la intervención educativa.</w:t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E04E80">
        <w:rPr>
          <w:rFonts w:ascii="Times New Roman" w:hAnsi="Times New Roman" w:cs="Times New Roman"/>
          <w:noProof/>
          <w:lang w:val="es-ES"/>
        </w:rPr>
        <w:drawing>
          <wp:inline distT="0" distB="0" distL="0" distR="0" wp14:anchorId="1A2E0CD2" wp14:editId="73AE91CD">
            <wp:extent cx="4798994" cy="2596366"/>
            <wp:effectExtent l="0" t="0" r="27305" b="2032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02D60" w:rsidRDefault="00402D60" w:rsidP="00402D6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Figura 3. </w:t>
      </w:r>
      <w:r w:rsidRPr="00171E5B">
        <w:rPr>
          <w:rFonts w:ascii="Times New Roman" w:hAnsi="Times New Roman" w:cs="Times New Roman"/>
        </w:rPr>
        <w:t>Distribución de los porcentajes de puntuación total del cuestionario depurado antes y después de la intervención educativa</w:t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s-ES"/>
        </w:rPr>
        <w:drawing>
          <wp:inline distT="0" distB="0" distL="0" distR="0" wp14:anchorId="0B1C6A8D" wp14:editId="5C30471D">
            <wp:extent cx="5396230" cy="3147695"/>
            <wp:effectExtent l="0" t="0" r="13970" b="2730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02D60" w:rsidRDefault="00402D60" w:rsidP="00402D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702A2" w:rsidRDefault="007702A2"/>
    <w:sectPr w:rsidR="007702A2" w:rsidSect="007702A2">
      <w:headerReference w:type="even" r:id="rId8"/>
      <w:headerReference w:type="default" r:id="rId9"/>
      <w:endnotePr>
        <w:numFmt w:val="decimal"/>
      </w:endnotePr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0A" w:rsidRDefault="00402D60" w:rsidP="00985295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B770A" w:rsidRDefault="00402D60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0A" w:rsidRDefault="00402D60" w:rsidP="00985295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B770A" w:rsidRDefault="00402D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savePreviewPicture/>
  <w:endnotePr>
    <w:numFmt w:val="decimal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D60"/>
    <w:rsid w:val="00402D60"/>
    <w:rsid w:val="0077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06ADC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D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02D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2D6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2D60"/>
  </w:style>
  <w:style w:type="character" w:styleId="Nmerodepgina">
    <w:name w:val="page number"/>
    <w:basedOn w:val="Fuentedeprrafopredeter"/>
    <w:uiPriority w:val="99"/>
    <w:semiHidden/>
    <w:unhideWhenUsed/>
    <w:rsid w:val="00402D60"/>
  </w:style>
  <w:style w:type="paragraph" w:styleId="Textodeglobo">
    <w:name w:val="Balloon Text"/>
    <w:basedOn w:val="Normal"/>
    <w:link w:val="TextodegloboCar"/>
    <w:uiPriority w:val="99"/>
    <w:semiHidden/>
    <w:unhideWhenUsed/>
    <w:rsid w:val="00402D6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2D6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D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02D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2D6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2D60"/>
  </w:style>
  <w:style w:type="character" w:styleId="Nmerodepgina">
    <w:name w:val="page number"/>
    <w:basedOn w:val="Fuentedeprrafopredeter"/>
    <w:uiPriority w:val="99"/>
    <w:semiHidden/>
    <w:unhideWhenUsed/>
    <w:rsid w:val="00402D60"/>
  </w:style>
  <w:style w:type="paragraph" w:styleId="Textodeglobo">
    <w:name w:val="Balloon Text"/>
    <w:basedOn w:val="Normal"/>
    <w:link w:val="TextodegloboCar"/>
    <w:uiPriority w:val="99"/>
    <w:semiHidden/>
    <w:unhideWhenUsed/>
    <w:rsid w:val="00402D6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2D6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chart" Target="charts/chart2.xml"/><Relationship Id="rId7" Type="http://schemas.openxmlformats.org/officeDocument/2006/relationships/chart" Target="charts/chart3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hanna:Desktop:OUTPUT%20copia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Sheet1!$D$1:$D$2</c:f>
              <c:strCache>
                <c:ptCount val="1"/>
                <c:pt idx="0">
                  <c:v>Edad exacta Porcentaje</c:v>
                </c:pt>
              </c:strCache>
            </c:strRef>
          </c:tx>
          <c:spPr>
            <a:solidFill>
              <a:schemeClr val="tx1">
                <a:lumMod val="65000"/>
                <a:lumOff val="35000"/>
              </a:schemeClr>
            </a:solidFill>
          </c:spPr>
          <c:invertIfNegative val="0"/>
          <c:cat>
            <c:numRef>
              <c:f>Sheet1!$B$3:$B$37</c:f>
              <c:numCache>
                <c:formatCode>General</c:formatCode>
                <c:ptCount val="35"/>
                <c:pt idx="0">
                  <c:v>18.0</c:v>
                </c:pt>
                <c:pt idx="2">
                  <c:v>20.0</c:v>
                </c:pt>
                <c:pt idx="5">
                  <c:v>25.0</c:v>
                </c:pt>
                <c:pt idx="8">
                  <c:v>30.0</c:v>
                </c:pt>
                <c:pt idx="13">
                  <c:v>35.0</c:v>
                </c:pt>
                <c:pt idx="18">
                  <c:v>40.0</c:v>
                </c:pt>
                <c:pt idx="23">
                  <c:v>45.0</c:v>
                </c:pt>
                <c:pt idx="28">
                  <c:v>50.0</c:v>
                </c:pt>
                <c:pt idx="31">
                  <c:v>55.0</c:v>
                </c:pt>
                <c:pt idx="34">
                  <c:v>60.0</c:v>
                </c:pt>
              </c:numCache>
            </c:numRef>
          </c:cat>
          <c:val>
            <c:numRef>
              <c:f>Sheet1!$D$3:$D$37</c:f>
              <c:numCache>
                <c:formatCode>###0.0</c:formatCode>
                <c:ptCount val="35"/>
                <c:pt idx="0">
                  <c:v>1.265822784810127</c:v>
                </c:pt>
                <c:pt idx="1">
                  <c:v>1.26582278481013</c:v>
                </c:pt>
                <c:pt idx="2">
                  <c:v>2.531645569620252</c:v>
                </c:pt>
                <c:pt idx="3">
                  <c:v>1.265822784810127</c:v>
                </c:pt>
                <c:pt idx="4">
                  <c:v>1.265822784810127</c:v>
                </c:pt>
                <c:pt idx="5">
                  <c:v>1.265822784810127</c:v>
                </c:pt>
                <c:pt idx="6">
                  <c:v>2.531645569620252</c:v>
                </c:pt>
                <c:pt idx="7">
                  <c:v>1.265822784810127</c:v>
                </c:pt>
                <c:pt idx="8">
                  <c:v>3.79746835443038</c:v>
                </c:pt>
                <c:pt idx="9">
                  <c:v>1.265822784810127</c:v>
                </c:pt>
                <c:pt idx="10">
                  <c:v>2.531645569620252</c:v>
                </c:pt>
                <c:pt idx="11">
                  <c:v>3.79746835443038</c:v>
                </c:pt>
                <c:pt idx="12">
                  <c:v>5.063291139240506</c:v>
                </c:pt>
                <c:pt idx="13">
                  <c:v>3.79746835443038</c:v>
                </c:pt>
                <c:pt idx="14">
                  <c:v>2.531645569620252</c:v>
                </c:pt>
                <c:pt idx="15">
                  <c:v>5.063291139240506</c:v>
                </c:pt>
                <c:pt idx="16">
                  <c:v>7.594936708860755</c:v>
                </c:pt>
                <c:pt idx="17">
                  <c:v>5.063291139240506</c:v>
                </c:pt>
                <c:pt idx="18">
                  <c:v>3.79746835443038</c:v>
                </c:pt>
                <c:pt idx="19">
                  <c:v>3.79746835443038</c:v>
                </c:pt>
                <c:pt idx="20">
                  <c:v>3.79746835443038</c:v>
                </c:pt>
                <c:pt idx="21">
                  <c:v>7.594936708860755</c:v>
                </c:pt>
                <c:pt idx="22">
                  <c:v>3.79746835443038</c:v>
                </c:pt>
                <c:pt idx="23">
                  <c:v>1.265822784810127</c:v>
                </c:pt>
                <c:pt idx="24">
                  <c:v>1.265822784810127</c:v>
                </c:pt>
                <c:pt idx="25">
                  <c:v>1.265822784810127</c:v>
                </c:pt>
                <c:pt idx="26">
                  <c:v>1.265822784810127</c:v>
                </c:pt>
                <c:pt idx="27">
                  <c:v>2.531645569620252</c:v>
                </c:pt>
                <c:pt idx="28">
                  <c:v>5.063291139240506</c:v>
                </c:pt>
                <c:pt idx="29">
                  <c:v>1.265822784810127</c:v>
                </c:pt>
                <c:pt idx="30">
                  <c:v>3.79746835443038</c:v>
                </c:pt>
                <c:pt idx="31">
                  <c:v>2.531645569620252</c:v>
                </c:pt>
                <c:pt idx="32">
                  <c:v>1.265822784810127</c:v>
                </c:pt>
                <c:pt idx="33">
                  <c:v>1.265822784810127</c:v>
                </c:pt>
                <c:pt idx="34">
                  <c:v>1.265822784810127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2083317592"/>
        <c:axId val="-2087051064"/>
      </c:barChart>
      <c:catAx>
        <c:axId val="-208331759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Edad (años)</a:t>
                </a:r>
              </a:p>
            </c:rich>
          </c:tx>
          <c:layout/>
          <c:overlay val="0"/>
        </c:title>
        <c:numFmt formatCode="_-* #,##0_-;\-* #,##0_-;_-* &quot;-&quot;_-;_-@_-" sourceLinked="0"/>
        <c:majorTickMark val="out"/>
        <c:minorTickMark val="none"/>
        <c:tickLblPos val="nextTo"/>
        <c:crossAx val="-2087051064"/>
        <c:crosses val="autoZero"/>
        <c:auto val="1"/>
        <c:lblAlgn val="ctr"/>
        <c:lblOffset val="100"/>
        <c:noMultiLvlLbl val="0"/>
      </c:catAx>
      <c:valAx>
        <c:axId val="-208705106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ES"/>
                  <a:t>Porcentaje de pacientes</a:t>
                </a:r>
              </a:p>
            </c:rich>
          </c:tx>
          <c:layout/>
          <c:overlay val="0"/>
        </c:title>
        <c:numFmt formatCode="###0.0" sourceLinked="1"/>
        <c:majorTickMark val="out"/>
        <c:minorTickMark val="none"/>
        <c:tickLblPos val="nextTo"/>
        <c:crossAx val="-20833175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Serie 1</c:v>
                </c:pt>
              </c:strCache>
            </c:strRef>
          </c:tx>
          <c:spPr>
            <a:solidFill>
              <a:schemeClr val="tx1">
                <a:lumMod val="65000"/>
                <a:lumOff val="35000"/>
              </a:schemeClr>
            </a:solidFill>
          </c:spPr>
          <c:invertIfNegative val="0"/>
          <c:cat>
            <c:numRef>
              <c:f>Hoja1!$A$2:$A$22</c:f>
              <c:numCache>
                <c:formatCode>General</c:formatCode>
                <c:ptCount val="21"/>
                <c:pt idx="0">
                  <c:v>1.0</c:v>
                </c:pt>
                <c:pt idx="1">
                  <c:v>2.0</c:v>
                </c:pt>
                <c:pt idx="2">
                  <c:v>3.0</c:v>
                </c:pt>
                <c:pt idx="3">
                  <c:v>4.0</c:v>
                </c:pt>
                <c:pt idx="4">
                  <c:v>5.0</c:v>
                </c:pt>
                <c:pt idx="5">
                  <c:v>6.0</c:v>
                </c:pt>
                <c:pt idx="6">
                  <c:v>7.0</c:v>
                </c:pt>
                <c:pt idx="7">
                  <c:v>8.0</c:v>
                </c:pt>
                <c:pt idx="8">
                  <c:v>9.0</c:v>
                </c:pt>
                <c:pt idx="9">
                  <c:v>10.0</c:v>
                </c:pt>
                <c:pt idx="10">
                  <c:v>11.0</c:v>
                </c:pt>
                <c:pt idx="11">
                  <c:v>12.0</c:v>
                </c:pt>
                <c:pt idx="12">
                  <c:v>13.0</c:v>
                </c:pt>
                <c:pt idx="13">
                  <c:v>14.0</c:v>
                </c:pt>
                <c:pt idx="14">
                  <c:v>15.0</c:v>
                </c:pt>
                <c:pt idx="15">
                  <c:v>16.0</c:v>
                </c:pt>
                <c:pt idx="16">
                  <c:v>17.0</c:v>
                </c:pt>
                <c:pt idx="17">
                  <c:v>18.0</c:v>
                </c:pt>
                <c:pt idx="18">
                  <c:v>19.0</c:v>
                </c:pt>
                <c:pt idx="19">
                  <c:v>20.0</c:v>
                </c:pt>
                <c:pt idx="20">
                  <c:v>21.0</c:v>
                </c:pt>
              </c:numCache>
            </c:numRef>
          </c:cat>
          <c:val>
            <c:numRef>
              <c:f>Hoja1!$B$2:$B$22</c:f>
              <c:numCache>
                <c:formatCode>General</c:formatCode>
                <c:ptCount val="21"/>
                <c:pt idx="0">
                  <c:v>81.9</c:v>
                </c:pt>
                <c:pt idx="1">
                  <c:v>85.7</c:v>
                </c:pt>
                <c:pt idx="2">
                  <c:v>79.0</c:v>
                </c:pt>
                <c:pt idx="3">
                  <c:v>90.5</c:v>
                </c:pt>
                <c:pt idx="4">
                  <c:v>50.5</c:v>
                </c:pt>
                <c:pt idx="5">
                  <c:v>65.7</c:v>
                </c:pt>
                <c:pt idx="6">
                  <c:v>50.5</c:v>
                </c:pt>
                <c:pt idx="7">
                  <c:v>79.0</c:v>
                </c:pt>
                <c:pt idx="8">
                  <c:v>89.5</c:v>
                </c:pt>
                <c:pt idx="9">
                  <c:v>97.1</c:v>
                </c:pt>
                <c:pt idx="10">
                  <c:v>84.8</c:v>
                </c:pt>
                <c:pt idx="11">
                  <c:v>81.9</c:v>
                </c:pt>
                <c:pt idx="12">
                  <c:v>99.0</c:v>
                </c:pt>
                <c:pt idx="13">
                  <c:v>96.2</c:v>
                </c:pt>
                <c:pt idx="14">
                  <c:v>19.0</c:v>
                </c:pt>
                <c:pt idx="15">
                  <c:v>61.0</c:v>
                </c:pt>
                <c:pt idx="16">
                  <c:v>32.4</c:v>
                </c:pt>
                <c:pt idx="17">
                  <c:v>73.3</c:v>
                </c:pt>
                <c:pt idx="18">
                  <c:v>69.5</c:v>
                </c:pt>
                <c:pt idx="19">
                  <c:v>31.4</c:v>
                </c:pt>
                <c:pt idx="20">
                  <c:v>44.8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B83-493D-9993-F35C54392A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2089483432"/>
        <c:axId val="-2086223800"/>
      </c:barChart>
      <c:catAx>
        <c:axId val="-208948343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N.º</a:t>
                </a:r>
                <a:r>
                  <a:rPr lang="es-ES" baseline="0"/>
                  <a:t> de í</a:t>
                </a:r>
                <a:r>
                  <a:rPr lang="es-ES"/>
                  <a:t>tem</a:t>
                </a:r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crossAx val="-2086223800"/>
        <c:crosses val="autoZero"/>
        <c:auto val="1"/>
        <c:lblAlgn val="ctr"/>
        <c:lblOffset val="100"/>
        <c:noMultiLvlLbl val="0"/>
      </c:catAx>
      <c:valAx>
        <c:axId val="-2086223800"/>
        <c:scaling>
          <c:orientation val="minMax"/>
          <c:max val="100.0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Procentaje</a:t>
                </a:r>
                <a:r>
                  <a:rPr lang="es-ES" baseline="0"/>
                  <a:t> de respuestas acertadas</a:t>
                </a:r>
                <a:endParaRPr lang="es-E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-20894834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Antes</c:v>
                </c:pt>
              </c:strCache>
            </c:strRef>
          </c:tx>
          <c:spPr>
            <a:pattFill prst="dkHorz">
              <a:fgClr>
                <a:prstClr val="black"/>
              </a:fgClr>
              <a:bgClr>
                <a:prstClr val="white"/>
              </a:bgClr>
            </a:pattFill>
          </c:spPr>
          <c:invertIfNegative val="0"/>
          <c:cat>
            <c:numRef>
              <c:f>Hoja1!$A$2:$A$15</c:f>
              <c:numCache>
                <c:formatCode>General</c:formatCode>
                <c:ptCount val="14"/>
                <c:pt idx="0">
                  <c:v>1.0</c:v>
                </c:pt>
                <c:pt idx="1">
                  <c:v>2.0</c:v>
                </c:pt>
                <c:pt idx="2">
                  <c:v>4.0</c:v>
                </c:pt>
                <c:pt idx="3">
                  <c:v>5.0</c:v>
                </c:pt>
                <c:pt idx="4">
                  <c:v>6.0</c:v>
                </c:pt>
                <c:pt idx="5">
                  <c:v>7.0</c:v>
                </c:pt>
                <c:pt idx="6">
                  <c:v>8.0</c:v>
                </c:pt>
                <c:pt idx="7">
                  <c:v>9.0</c:v>
                </c:pt>
                <c:pt idx="8">
                  <c:v>10.0</c:v>
                </c:pt>
                <c:pt idx="9">
                  <c:v>11.0</c:v>
                </c:pt>
                <c:pt idx="10">
                  <c:v>12.0</c:v>
                </c:pt>
                <c:pt idx="11">
                  <c:v>13.0</c:v>
                </c:pt>
                <c:pt idx="12">
                  <c:v>14.0</c:v>
                </c:pt>
                <c:pt idx="13">
                  <c:v>15.0</c:v>
                </c:pt>
              </c:numCache>
            </c:numRef>
          </c:cat>
          <c:val>
            <c:numRef>
              <c:f>Hoja1!$B$2:$B$15</c:f>
              <c:numCache>
                <c:formatCode>General</c:formatCode>
                <c:ptCount val="14"/>
                <c:pt idx="0">
                  <c:v>1.0</c:v>
                </c:pt>
                <c:pt idx="1">
                  <c:v>1.0</c:v>
                </c:pt>
                <c:pt idx="2">
                  <c:v>6.7</c:v>
                </c:pt>
                <c:pt idx="3">
                  <c:v>4.8</c:v>
                </c:pt>
                <c:pt idx="4">
                  <c:v>4.8</c:v>
                </c:pt>
                <c:pt idx="5">
                  <c:v>7.6</c:v>
                </c:pt>
                <c:pt idx="6">
                  <c:v>10.5</c:v>
                </c:pt>
                <c:pt idx="7">
                  <c:v>6.7</c:v>
                </c:pt>
                <c:pt idx="8">
                  <c:v>20.0</c:v>
                </c:pt>
                <c:pt idx="9">
                  <c:v>9.5</c:v>
                </c:pt>
                <c:pt idx="10">
                  <c:v>14.3</c:v>
                </c:pt>
                <c:pt idx="11">
                  <c:v>6.7</c:v>
                </c:pt>
                <c:pt idx="12">
                  <c:v>6.7</c:v>
                </c:pt>
                <c:pt idx="13">
                  <c:v>0.0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2DA-47FF-AB26-1FFE93353EF9}"/>
            </c:ext>
          </c:extLst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Despúes</c:v>
                </c:pt>
              </c:strCache>
            </c:strRef>
          </c:tx>
          <c:spPr>
            <a:pattFill prst="pct75">
              <a:fgClr>
                <a:prstClr val="black"/>
              </a:fgClr>
              <a:bgClr>
                <a:prstClr val="white"/>
              </a:bgClr>
            </a:pattFill>
          </c:spPr>
          <c:invertIfNegative val="0"/>
          <c:cat>
            <c:numRef>
              <c:f>Hoja1!$A$2:$A$15</c:f>
              <c:numCache>
                <c:formatCode>General</c:formatCode>
                <c:ptCount val="14"/>
                <c:pt idx="0">
                  <c:v>1.0</c:v>
                </c:pt>
                <c:pt idx="1">
                  <c:v>2.0</c:v>
                </c:pt>
                <c:pt idx="2">
                  <c:v>4.0</c:v>
                </c:pt>
                <c:pt idx="3">
                  <c:v>5.0</c:v>
                </c:pt>
                <c:pt idx="4">
                  <c:v>6.0</c:v>
                </c:pt>
                <c:pt idx="5">
                  <c:v>7.0</c:v>
                </c:pt>
                <c:pt idx="6">
                  <c:v>8.0</c:v>
                </c:pt>
                <c:pt idx="7">
                  <c:v>9.0</c:v>
                </c:pt>
                <c:pt idx="8">
                  <c:v>10.0</c:v>
                </c:pt>
                <c:pt idx="9">
                  <c:v>11.0</c:v>
                </c:pt>
                <c:pt idx="10">
                  <c:v>12.0</c:v>
                </c:pt>
                <c:pt idx="11">
                  <c:v>13.0</c:v>
                </c:pt>
                <c:pt idx="12">
                  <c:v>14.0</c:v>
                </c:pt>
                <c:pt idx="13">
                  <c:v>15.0</c:v>
                </c:pt>
              </c:numCache>
            </c:numRef>
          </c:cat>
          <c:val>
            <c:numRef>
              <c:f>Hoja1!$C$2:$C$15</c:f>
              <c:numCache>
                <c:formatCode>General</c:formatCode>
                <c:ptCount val="14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  <c:pt idx="3">
                  <c:v>0.0</c:v>
                </c:pt>
                <c:pt idx="4">
                  <c:v>0.0</c:v>
                </c:pt>
                <c:pt idx="5">
                  <c:v>1.9</c:v>
                </c:pt>
                <c:pt idx="6">
                  <c:v>0.0</c:v>
                </c:pt>
                <c:pt idx="7">
                  <c:v>5.2</c:v>
                </c:pt>
                <c:pt idx="8">
                  <c:v>0.0</c:v>
                </c:pt>
                <c:pt idx="9">
                  <c:v>8.6</c:v>
                </c:pt>
                <c:pt idx="10">
                  <c:v>2.6</c:v>
                </c:pt>
                <c:pt idx="11">
                  <c:v>11.8</c:v>
                </c:pt>
                <c:pt idx="12">
                  <c:v>23.7</c:v>
                </c:pt>
                <c:pt idx="13">
                  <c:v>46.1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2DA-47FF-AB26-1FFE93353E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2083267688"/>
        <c:axId val="-2084782040"/>
      </c:barChart>
      <c:catAx>
        <c:axId val="-20832676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Puntuación total</a:t>
                </a:r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crossAx val="-2084782040"/>
        <c:crosses val="autoZero"/>
        <c:auto val="1"/>
        <c:lblAlgn val="ctr"/>
        <c:lblOffset val="100"/>
        <c:noMultiLvlLbl val="0"/>
      </c:catAx>
      <c:valAx>
        <c:axId val="-208478204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Porcentaje</a:t>
                </a:r>
                <a:r>
                  <a:rPr lang="es-ES" baseline="0"/>
                  <a:t> de pacientes</a:t>
                </a:r>
                <a:endParaRPr lang="es-E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-208326768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367</Words>
  <Characters>2022</Characters>
  <Application>Microsoft Macintosh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</dc:creator>
  <cp:keywords/>
  <dc:description/>
  <cp:lastModifiedBy>H.</cp:lastModifiedBy>
  <cp:revision>1</cp:revision>
  <dcterms:created xsi:type="dcterms:W3CDTF">2019-03-05T22:36:00Z</dcterms:created>
  <dcterms:modified xsi:type="dcterms:W3CDTF">2019-03-05T22:38:00Z</dcterms:modified>
</cp:coreProperties>
</file>