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88D" w:rsidRDefault="00C7688D" w:rsidP="00C7688D">
      <w:pPr>
        <w:spacing w:after="0" w:line="360" w:lineRule="auto"/>
        <w:ind w:left="-426"/>
        <w:contextualSpacing/>
        <w:jc w:val="center"/>
        <w:rPr>
          <w:rFonts w:asciiTheme="minorHAnsi" w:hAnsiTheme="minorHAnsi" w:cstheme="minorHAnsi"/>
          <w:color w:val="000000" w:themeColor="text1"/>
          <w:sz w:val="24"/>
          <w:szCs w:val="24"/>
          <w:lang w:val="es-ES"/>
        </w:rPr>
      </w:pPr>
      <w:r w:rsidRPr="008A55DE">
        <w:rPr>
          <w:rFonts w:asciiTheme="minorHAnsi" w:hAnsiTheme="minorHAnsi" w:cstheme="minorHAnsi"/>
          <w:noProof/>
          <w:color w:val="000000" w:themeColor="text1"/>
          <w:sz w:val="24"/>
          <w:szCs w:val="24"/>
          <w:lang w:eastAsia="es-CO"/>
        </w:rPr>
        <w:drawing>
          <wp:inline distT="0" distB="0" distL="0" distR="0">
            <wp:extent cx="6248400" cy="2549525"/>
            <wp:effectExtent l="19050" t="0" r="19050" b="3175"/>
            <wp:docPr id="7" name="Gráfico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C7688D" w:rsidRPr="00227F4F" w:rsidRDefault="00C7688D" w:rsidP="00C7688D">
      <w:pPr>
        <w:spacing w:after="0" w:line="240" w:lineRule="auto"/>
        <w:contextualSpacing/>
        <w:jc w:val="both"/>
        <w:rPr>
          <w:rFonts w:asciiTheme="minorHAnsi" w:hAnsiTheme="minorHAnsi" w:cstheme="minorHAnsi"/>
          <w:color w:val="000000" w:themeColor="text1"/>
          <w:szCs w:val="24"/>
          <w:lang w:val="es-ES"/>
        </w:rPr>
      </w:pPr>
      <w:r w:rsidRPr="00227F4F">
        <w:rPr>
          <w:rFonts w:asciiTheme="minorHAnsi" w:hAnsiTheme="minorHAnsi" w:cstheme="minorHAnsi"/>
          <w:b/>
          <w:color w:val="000000" w:themeColor="text1"/>
          <w:szCs w:val="24"/>
          <w:lang w:val="es-ES"/>
        </w:rPr>
        <w:t>Figura 1.</w:t>
      </w:r>
      <w:r w:rsidRPr="00227F4F">
        <w:rPr>
          <w:rFonts w:asciiTheme="minorHAnsi" w:hAnsiTheme="minorHAnsi" w:cstheme="minorHAnsi"/>
          <w:color w:val="000000" w:themeColor="text1"/>
          <w:szCs w:val="24"/>
          <w:lang w:val="es-ES"/>
        </w:rPr>
        <w:t xml:space="preserve"> Distribución de los niveles de plaquetas (10</w:t>
      </w:r>
      <w:r w:rsidRPr="00227F4F">
        <w:rPr>
          <w:rFonts w:asciiTheme="minorHAnsi" w:hAnsiTheme="minorHAnsi" w:cstheme="minorHAnsi"/>
          <w:color w:val="000000" w:themeColor="text1"/>
          <w:szCs w:val="24"/>
          <w:vertAlign w:val="superscript"/>
          <w:lang w:val="es-ES"/>
        </w:rPr>
        <w:t>3</w:t>
      </w:r>
      <w:r w:rsidRPr="00227F4F">
        <w:rPr>
          <w:rFonts w:asciiTheme="minorHAnsi" w:hAnsiTheme="minorHAnsi" w:cstheme="minorHAnsi"/>
          <w:color w:val="000000" w:themeColor="text1"/>
          <w:szCs w:val="24"/>
          <w:lang w:val="es-ES"/>
        </w:rPr>
        <w:t xml:space="preserve"> x mm</w:t>
      </w:r>
      <w:r w:rsidRPr="00227F4F">
        <w:rPr>
          <w:rFonts w:asciiTheme="minorHAnsi" w:hAnsiTheme="minorHAnsi" w:cstheme="minorHAnsi"/>
          <w:color w:val="000000" w:themeColor="text1"/>
          <w:szCs w:val="24"/>
          <w:vertAlign w:val="superscript"/>
          <w:lang w:val="es-ES"/>
        </w:rPr>
        <w:t>3</w:t>
      </w:r>
      <w:r w:rsidRPr="00227F4F">
        <w:rPr>
          <w:rFonts w:asciiTheme="minorHAnsi" w:hAnsiTheme="minorHAnsi" w:cstheme="minorHAnsi"/>
          <w:color w:val="000000" w:themeColor="text1"/>
          <w:szCs w:val="24"/>
          <w:lang w:val="es-ES"/>
        </w:rPr>
        <w:t xml:space="preserve">) </w:t>
      </w:r>
      <w:r>
        <w:rPr>
          <w:rFonts w:asciiTheme="minorHAnsi" w:hAnsiTheme="minorHAnsi" w:cstheme="minorHAnsi"/>
          <w:color w:val="000000" w:themeColor="text1"/>
          <w:szCs w:val="24"/>
          <w:lang w:val="es-ES"/>
        </w:rPr>
        <w:t>desde el inicio del tratamiento</w:t>
      </w:r>
      <w:r w:rsidRPr="00227F4F">
        <w:rPr>
          <w:rFonts w:asciiTheme="minorHAnsi" w:hAnsiTheme="minorHAnsi" w:cstheme="minorHAnsi"/>
          <w:color w:val="000000" w:themeColor="text1"/>
          <w:szCs w:val="24"/>
          <w:lang w:val="es-ES"/>
        </w:rPr>
        <w:t xml:space="preserve"> con cotrimoxazol</w:t>
      </w:r>
      <w:r>
        <w:rPr>
          <w:rFonts w:asciiTheme="minorHAnsi" w:hAnsiTheme="minorHAnsi" w:cstheme="minorHAnsi"/>
          <w:color w:val="000000" w:themeColor="text1"/>
          <w:szCs w:val="24"/>
          <w:lang w:val="es-ES"/>
        </w:rPr>
        <w:t>, en el octavo día se inició el tratamiento con folinato de calcio 50 mg IV C/24 H.</w:t>
      </w:r>
    </w:p>
    <w:p w:rsidR="00610C97" w:rsidRPr="00082809" w:rsidRDefault="00C7688D" w:rsidP="00C7688D">
      <w:pPr>
        <w:rPr>
          <w:lang w:val="es-ES"/>
        </w:rPr>
      </w:pPr>
    </w:p>
    <w:sectPr w:rsidR="00610C97" w:rsidRPr="00082809" w:rsidSect="00FE585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82809"/>
    <w:rsid w:val="00082809"/>
    <w:rsid w:val="000F08E7"/>
    <w:rsid w:val="00112D38"/>
    <w:rsid w:val="003279E1"/>
    <w:rsid w:val="00996A1B"/>
    <w:rsid w:val="00C7688D"/>
    <w:rsid w:val="00D66C1A"/>
    <w:rsid w:val="00FE5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809"/>
    <w:pPr>
      <w:spacing w:after="160"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828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280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3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uario\Desktop\Figura%20%202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s-CO"/>
  <c:chart>
    <c:autoTitleDeleted val="1"/>
    <c:plotArea>
      <c:layout/>
      <c:lineChart>
        <c:grouping val="standard"/>
        <c:ser>
          <c:idx val="0"/>
          <c:order val="0"/>
          <c:tx>
            <c:strRef>
              <c:f>Hoja1!$E$1</c:f>
              <c:strCache>
                <c:ptCount val="1"/>
                <c:pt idx="0">
                  <c:v>MINIMO</c:v>
                </c:pt>
              </c:strCache>
            </c:strRef>
          </c:tx>
          <c:marker>
            <c:symbol val="none"/>
          </c:marker>
          <c:dLbls>
            <c:delete val="1"/>
          </c:dLbls>
          <c:val>
            <c:numRef>
              <c:f>Hoja1!$F$1:$O$1</c:f>
              <c:numCache>
                <c:formatCode>General</c:formatCode>
                <c:ptCount val="10"/>
                <c:pt idx="0">
                  <c:v>150</c:v>
                </c:pt>
                <c:pt idx="1">
                  <c:v>150</c:v>
                </c:pt>
                <c:pt idx="2">
                  <c:v>150</c:v>
                </c:pt>
                <c:pt idx="3">
                  <c:v>150</c:v>
                </c:pt>
                <c:pt idx="4">
                  <c:v>150</c:v>
                </c:pt>
                <c:pt idx="5">
                  <c:v>150</c:v>
                </c:pt>
                <c:pt idx="6">
                  <c:v>150</c:v>
                </c:pt>
                <c:pt idx="7">
                  <c:v>150</c:v>
                </c:pt>
                <c:pt idx="8">
                  <c:v>150</c:v>
                </c:pt>
                <c:pt idx="9">
                  <c:v>150</c:v>
                </c:pt>
              </c:numCache>
            </c:numRef>
          </c:val>
        </c:ser>
        <c:ser>
          <c:idx val="1"/>
          <c:order val="1"/>
          <c:tx>
            <c:strRef>
              <c:f>Hoja1!$E$2</c:f>
              <c:strCache>
                <c:ptCount val="1"/>
                <c:pt idx="0">
                  <c:v>MAXIMO</c:v>
                </c:pt>
              </c:strCache>
            </c:strRef>
          </c:tx>
          <c:marker>
            <c:symbol val="none"/>
          </c:marker>
          <c:dLbls>
            <c:delete val="1"/>
          </c:dLbls>
          <c:val>
            <c:numRef>
              <c:f>Hoja1!$F$2:$O$2</c:f>
              <c:numCache>
                <c:formatCode>General</c:formatCode>
                <c:ptCount val="10"/>
                <c:pt idx="0">
                  <c:v>450</c:v>
                </c:pt>
                <c:pt idx="1">
                  <c:v>450</c:v>
                </c:pt>
                <c:pt idx="2">
                  <c:v>450</c:v>
                </c:pt>
                <c:pt idx="3">
                  <c:v>450</c:v>
                </c:pt>
                <c:pt idx="4">
                  <c:v>450</c:v>
                </c:pt>
                <c:pt idx="5">
                  <c:v>450</c:v>
                </c:pt>
                <c:pt idx="6">
                  <c:v>450</c:v>
                </c:pt>
                <c:pt idx="7">
                  <c:v>450</c:v>
                </c:pt>
                <c:pt idx="8">
                  <c:v>450</c:v>
                </c:pt>
                <c:pt idx="9">
                  <c:v>450</c:v>
                </c:pt>
              </c:numCache>
            </c:numRef>
          </c:val>
        </c:ser>
        <c:ser>
          <c:idx val="2"/>
          <c:order val="2"/>
          <c:tx>
            <c:strRef>
              <c:f>Hoja1!$E$3</c:f>
              <c:strCache>
                <c:ptCount val="1"/>
                <c:pt idx="0">
                  <c:v>PLAQUETAS</c:v>
                </c:pt>
              </c:strCache>
            </c:strRef>
          </c:tx>
          <c:val>
            <c:numRef>
              <c:f>Hoja1!$F$3:$O$3</c:f>
              <c:numCache>
                <c:formatCode>General</c:formatCode>
                <c:ptCount val="10"/>
                <c:pt idx="0">
                  <c:v>217</c:v>
                </c:pt>
                <c:pt idx="1">
                  <c:v>179</c:v>
                </c:pt>
                <c:pt idx="2">
                  <c:v>143</c:v>
                </c:pt>
                <c:pt idx="3">
                  <c:v>112</c:v>
                </c:pt>
                <c:pt idx="4">
                  <c:v>61</c:v>
                </c:pt>
                <c:pt idx="5">
                  <c:v>44</c:v>
                </c:pt>
                <c:pt idx="6">
                  <c:v>36</c:v>
                </c:pt>
                <c:pt idx="7">
                  <c:v>32</c:v>
                </c:pt>
                <c:pt idx="8">
                  <c:v>71</c:v>
                </c:pt>
                <c:pt idx="9">
                  <c:v>180</c:v>
                </c:pt>
              </c:numCache>
            </c:numRef>
          </c:val>
        </c:ser>
        <c:dLbls>
          <c:showVal val="1"/>
        </c:dLbls>
        <c:marker val="1"/>
        <c:axId val="111662976"/>
        <c:axId val="111828992"/>
      </c:lineChart>
      <c:catAx>
        <c:axId val="111662976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s-CO"/>
                  <a:t>Días</a:t>
                </a:r>
                <a:r>
                  <a:rPr lang="es-CO" baseline="0"/>
                  <a:t> de tratamiento con cotrimoxazol</a:t>
                </a:r>
                <a:endParaRPr lang="es-CO"/>
              </a:p>
            </c:rich>
          </c:tx>
        </c:title>
        <c:majorTickMark val="none"/>
        <c:tickLblPos val="nextTo"/>
        <c:crossAx val="111828992"/>
        <c:crosses val="autoZero"/>
        <c:auto val="1"/>
        <c:lblAlgn val="ctr"/>
        <c:lblOffset val="100"/>
      </c:catAx>
      <c:valAx>
        <c:axId val="111828992"/>
        <c:scaling>
          <c:orientation val="minMax"/>
        </c:scaling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s-CO"/>
                  <a:t>Niveles de Plaquetas</a:t>
                </a:r>
              </a:p>
            </c:rich>
          </c:tx>
        </c:title>
        <c:numFmt formatCode="General" sourceLinked="1"/>
        <c:majorTickMark val="none"/>
        <c:tickLblPos val="nextTo"/>
        <c:crossAx val="111662976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168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2019-10-01T20:03:00Z</dcterms:created>
  <dcterms:modified xsi:type="dcterms:W3CDTF">2019-10-05T00:05:00Z</dcterms:modified>
</cp:coreProperties>
</file>